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600" w:lineRule="exact"/>
        <w:jc w:val="both"/>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pStyle w:val="2"/>
        <w:spacing w:beforeAutospacing="0" w:afterAutospacing="0"/>
        <w:jc w:val="center"/>
        <w:rPr>
          <w:rFonts w:ascii="方正小标宋简体" w:eastAsia="方正小标宋简体"/>
          <w:sz w:val="44"/>
          <w:szCs w:val="44"/>
        </w:rPr>
      </w:pPr>
      <w:r>
        <w:rPr>
          <w:rFonts w:hint="eastAsia" w:ascii="方正小标宋简体" w:eastAsia="方正小标宋简体"/>
          <w:sz w:val="44"/>
          <w:szCs w:val="44"/>
        </w:rPr>
        <w:t>废止的行政规范性文件目录</w:t>
      </w:r>
    </w:p>
    <w:tbl>
      <w:tblPr>
        <w:tblStyle w:val="4"/>
        <w:tblW w:w="9157" w:type="dxa"/>
        <w:jc w:val="center"/>
        <w:tblInd w:w="0" w:type="dxa"/>
        <w:tblLayout w:type="fixed"/>
        <w:tblCellMar>
          <w:top w:w="15" w:type="dxa"/>
          <w:left w:w="15" w:type="dxa"/>
          <w:bottom w:w="15" w:type="dxa"/>
          <w:right w:w="15" w:type="dxa"/>
        </w:tblCellMar>
      </w:tblPr>
      <w:tblGrid>
        <w:gridCol w:w="647"/>
        <w:gridCol w:w="6047"/>
        <w:gridCol w:w="2463"/>
      </w:tblGrid>
      <w:tr>
        <w:tblPrEx>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kern w:val="0"/>
                <w:sz w:val="28"/>
                <w:szCs w:val="28"/>
              </w:rPr>
            </w:pPr>
            <w:r>
              <w:rPr>
                <w:rFonts w:hint="eastAsia" w:ascii="黑体" w:hAnsi="黑体" w:eastAsia="黑体" w:cs="宋体"/>
                <w:kern w:val="0"/>
                <w:sz w:val="28"/>
                <w:szCs w:val="28"/>
              </w:rPr>
              <w:t>行政规范性文件名称</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宋体"/>
                <w:kern w:val="0"/>
                <w:sz w:val="28"/>
                <w:szCs w:val="28"/>
              </w:rPr>
            </w:pPr>
            <w:r>
              <w:rPr>
                <w:rFonts w:hint="eastAsia" w:ascii="黑体" w:hAnsi="黑体" w:eastAsia="黑体" w:cs="宋体"/>
                <w:kern w:val="0"/>
                <w:sz w:val="28"/>
                <w:szCs w:val="28"/>
              </w:rPr>
              <w:t>文号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6"/>
                <w:kern w:val="0"/>
                <w:sz w:val="28"/>
                <w:szCs w:val="28"/>
              </w:rPr>
            </w:pPr>
            <w:r>
              <w:rPr>
                <w:rFonts w:hint="eastAsia" w:ascii="仿宋_GB2312" w:hAnsi="仿宋" w:eastAsia="仿宋_GB2312" w:cs="仿宋"/>
                <w:spacing w:val="-6"/>
                <w:kern w:val="0"/>
                <w:sz w:val="28"/>
                <w:szCs w:val="28"/>
              </w:rPr>
              <w:t>关于印发《温州市农村土地承包经营权流转管理办法（试行）》和《温州市农村土地承包经营权流转服务站（乡镇、街道）建设实施细则》的通知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2010</w:t>
            </w:r>
            <w:r>
              <w:rPr>
                <w:rFonts w:hint="eastAsia" w:ascii="仿宋_GB2312" w:hAnsi="仿宋" w:eastAsia="仿宋_GB2312" w:cs="仿宋"/>
                <w:kern w:val="0"/>
                <w:sz w:val="28"/>
                <w:szCs w:val="28"/>
              </w:rPr>
              <w:t>〕</w:t>
            </w:r>
            <w:r>
              <w:rPr>
                <w:rFonts w:ascii="仿宋_GB2312" w:hAnsi="仿宋" w:eastAsia="仿宋_GB2312" w:cs="仿宋"/>
                <w:kern w:val="0"/>
                <w:sz w:val="28"/>
                <w:szCs w:val="28"/>
              </w:rPr>
              <w:t>145</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2</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关于印发《温州市农村土地承包流转服务示范站（乡镇、街道）评定办法和评分细则》的通知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2010</w:t>
            </w:r>
            <w:r>
              <w:rPr>
                <w:rFonts w:hint="eastAsia" w:ascii="仿宋_GB2312" w:hAnsi="仿宋" w:eastAsia="仿宋_GB2312" w:cs="仿宋"/>
                <w:kern w:val="0"/>
                <w:sz w:val="28"/>
                <w:szCs w:val="28"/>
              </w:rPr>
              <w:t>〕</w:t>
            </w:r>
            <w:r>
              <w:rPr>
                <w:rFonts w:ascii="仿宋_GB2312" w:hAnsi="仿宋" w:eastAsia="仿宋_GB2312" w:cs="仿宋"/>
                <w:kern w:val="0"/>
                <w:sz w:val="28"/>
                <w:szCs w:val="28"/>
              </w:rPr>
              <w:t>151</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3</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关于印发《温州市农业系列专业技术人员晋升中级任职资格综合评价办法》的通知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2011</w:t>
            </w:r>
            <w:r>
              <w:rPr>
                <w:rFonts w:hint="eastAsia" w:ascii="仿宋_GB2312" w:hAnsi="仿宋" w:eastAsia="仿宋_GB2312" w:cs="仿宋"/>
                <w:kern w:val="0"/>
                <w:sz w:val="28"/>
                <w:szCs w:val="28"/>
              </w:rPr>
              <w:t>〕</w:t>
            </w:r>
            <w:r>
              <w:rPr>
                <w:rFonts w:ascii="仿宋_GB2312" w:hAnsi="仿宋" w:eastAsia="仿宋_GB2312" w:cs="仿宋"/>
                <w:kern w:val="0"/>
                <w:sz w:val="28"/>
                <w:szCs w:val="28"/>
              </w:rPr>
              <w:t>90</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4</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关于印发温州市农机安全生产警示制度（暂行）的通知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2011</w:t>
            </w:r>
            <w:r>
              <w:rPr>
                <w:rFonts w:hint="eastAsia" w:ascii="仿宋_GB2312" w:hAnsi="仿宋" w:eastAsia="仿宋_GB2312" w:cs="仿宋"/>
                <w:kern w:val="0"/>
                <w:sz w:val="28"/>
                <w:szCs w:val="28"/>
              </w:rPr>
              <w:t>〕</w:t>
            </w:r>
            <w:r>
              <w:rPr>
                <w:rFonts w:ascii="仿宋_GB2312" w:hAnsi="仿宋" w:eastAsia="仿宋_GB2312" w:cs="仿宋"/>
                <w:kern w:val="0"/>
                <w:sz w:val="28"/>
                <w:szCs w:val="28"/>
              </w:rPr>
              <w:t>148</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5</w:t>
            </w:r>
          </w:p>
        </w:tc>
        <w:tc>
          <w:tcPr>
            <w:tcW w:w="604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关于进一步加强兽药经营质量管理工作的通知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pacing w:val="-8"/>
                <w:sz w:val="28"/>
                <w:szCs w:val="28"/>
              </w:rPr>
            </w:pPr>
            <w:r>
              <w:rPr>
                <w:rFonts w:hint="eastAsia" w:ascii="仿宋_GB2312" w:hAnsi="仿宋" w:eastAsia="仿宋_GB2312" w:cs="仿宋"/>
                <w:spacing w:val="-8"/>
                <w:kern w:val="0"/>
                <w:sz w:val="28"/>
                <w:szCs w:val="28"/>
              </w:rPr>
              <w:t>温农发〔</w:t>
            </w:r>
            <w:r>
              <w:rPr>
                <w:rFonts w:ascii="仿宋_GB2312" w:hAnsi="仿宋" w:eastAsia="仿宋_GB2312" w:cs="仿宋"/>
                <w:spacing w:val="-8"/>
                <w:kern w:val="0"/>
                <w:sz w:val="28"/>
                <w:szCs w:val="28"/>
              </w:rPr>
              <w:t>2012</w:t>
            </w:r>
            <w:r>
              <w:rPr>
                <w:rFonts w:hint="eastAsia" w:ascii="仿宋_GB2312" w:hAnsi="仿宋" w:eastAsia="仿宋_GB2312" w:cs="仿宋"/>
                <w:spacing w:val="-8"/>
                <w:kern w:val="0"/>
                <w:sz w:val="28"/>
                <w:szCs w:val="28"/>
              </w:rPr>
              <w:t>〕</w:t>
            </w:r>
            <w:r>
              <w:rPr>
                <w:rFonts w:ascii="仿宋_GB2312" w:hAnsi="仿宋" w:eastAsia="仿宋_GB2312" w:cs="仿宋"/>
                <w:spacing w:val="-8"/>
                <w:kern w:val="0"/>
                <w:sz w:val="28"/>
                <w:szCs w:val="28"/>
              </w:rPr>
              <w:t>78</w:t>
            </w:r>
            <w:r>
              <w:rPr>
                <w:rFonts w:hint="eastAsia" w:ascii="仿宋_GB2312" w:hAnsi="仿宋" w:eastAsia="仿宋_GB2312" w:cs="仿宋"/>
                <w:spacing w:val="-8"/>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6</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关于印发《温州市农产品质量安全监测以奖代补资金管理办法（试行）》的通知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6"/>
                <w:kern w:val="0"/>
                <w:sz w:val="28"/>
                <w:szCs w:val="28"/>
              </w:rPr>
            </w:pPr>
            <w:r>
              <w:rPr>
                <w:rFonts w:hint="eastAsia" w:ascii="仿宋_GB2312" w:hAnsi="仿宋" w:eastAsia="仿宋_GB2312" w:cs="仿宋"/>
                <w:spacing w:val="-6"/>
                <w:kern w:val="0"/>
                <w:sz w:val="28"/>
                <w:szCs w:val="28"/>
              </w:rPr>
              <w:t>温农发〔</w:t>
            </w:r>
            <w:r>
              <w:rPr>
                <w:rFonts w:ascii="仿宋_GB2312" w:hAnsi="仿宋" w:eastAsia="仿宋_GB2312" w:cs="仿宋"/>
                <w:spacing w:val="-6"/>
                <w:kern w:val="0"/>
                <w:sz w:val="28"/>
                <w:szCs w:val="28"/>
              </w:rPr>
              <w:t>2014</w:t>
            </w:r>
            <w:r>
              <w:rPr>
                <w:rFonts w:hint="eastAsia" w:ascii="仿宋_GB2312" w:hAnsi="仿宋" w:eastAsia="仿宋_GB2312" w:cs="仿宋"/>
                <w:spacing w:val="-6"/>
                <w:kern w:val="0"/>
                <w:sz w:val="28"/>
                <w:szCs w:val="28"/>
              </w:rPr>
              <w:t>〕</w:t>
            </w:r>
            <w:r>
              <w:rPr>
                <w:rFonts w:ascii="仿宋_GB2312" w:hAnsi="仿宋" w:eastAsia="仿宋_GB2312" w:cs="仿宋"/>
                <w:spacing w:val="-6"/>
                <w:kern w:val="0"/>
                <w:sz w:val="28"/>
                <w:szCs w:val="28"/>
              </w:rPr>
              <w:t xml:space="preserve">143 </w:t>
            </w:r>
            <w:r>
              <w:rPr>
                <w:rFonts w:hint="eastAsia" w:ascii="仿宋_GB2312" w:hAnsi="仿宋" w:eastAsia="仿宋_GB2312" w:cs="仿宋"/>
                <w:spacing w:val="-6"/>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7</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fldChar w:fldCharType="begin"/>
            </w:r>
            <w:r>
              <w:instrText xml:space="preserve"> HYPERLINK "javascript:showForm('2ccdcdb749124e8401495ff84b51791a','','');" </w:instrText>
            </w:r>
            <w:r>
              <w:fldChar w:fldCharType="separate"/>
            </w:r>
            <w:r>
              <w:rPr>
                <w:rFonts w:hint="eastAsia" w:ascii="仿宋_GB2312" w:hAnsi="仿宋" w:eastAsia="仿宋_GB2312" w:cs="仿宋"/>
                <w:kern w:val="0"/>
                <w:sz w:val="28"/>
                <w:szCs w:val="28"/>
              </w:rPr>
              <w:t>关于印发《农业农村专项资金管理暂行办法》的通知</w:t>
            </w:r>
            <w:r>
              <w:rPr>
                <w:rFonts w:hint="eastAsia" w:ascii="仿宋_GB2312" w:hAnsi="仿宋" w:eastAsia="仿宋_GB2312" w:cs="仿宋"/>
                <w:kern w:val="0"/>
                <w:sz w:val="28"/>
                <w:szCs w:val="28"/>
              </w:rPr>
              <w:fldChar w:fldCharType="end"/>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12"/>
                <w:kern w:val="0"/>
                <w:sz w:val="28"/>
                <w:szCs w:val="28"/>
              </w:rPr>
            </w:pPr>
            <w:r>
              <w:rPr>
                <w:rFonts w:hint="eastAsia" w:ascii="仿宋_GB2312" w:hAnsi="仿宋" w:eastAsia="仿宋_GB2312" w:cs="仿宋"/>
                <w:spacing w:val="-12"/>
                <w:kern w:val="0"/>
                <w:sz w:val="28"/>
                <w:szCs w:val="28"/>
              </w:rPr>
              <w:t>温农计发〔</w:t>
            </w:r>
            <w:r>
              <w:rPr>
                <w:rFonts w:ascii="仿宋_GB2312" w:hAnsi="仿宋" w:eastAsia="仿宋_GB2312" w:cs="仿宋"/>
                <w:spacing w:val="-12"/>
                <w:kern w:val="0"/>
                <w:sz w:val="28"/>
                <w:szCs w:val="28"/>
              </w:rPr>
              <w:t>2014</w:t>
            </w:r>
            <w:r>
              <w:rPr>
                <w:rFonts w:hint="eastAsia" w:ascii="仿宋_GB2312" w:hAnsi="仿宋" w:eastAsia="仿宋_GB2312" w:cs="仿宋"/>
                <w:spacing w:val="-12"/>
                <w:kern w:val="0"/>
                <w:sz w:val="28"/>
                <w:szCs w:val="28"/>
              </w:rPr>
              <w:t>〕</w:t>
            </w:r>
            <w:r>
              <w:rPr>
                <w:rFonts w:ascii="仿宋_GB2312" w:hAnsi="仿宋" w:eastAsia="仿宋_GB2312" w:cs="仿宋"/>
                <w:spacing w:val="-12"/>
                <w:kern w:val="0"/>
                <w:sz w:val="28"/>
                <w:szCs w:val="28"/>
              </w:rPr>
              <w:t>7</w:t>
            </w:r>
            <w:r>
              <w:rPr>
                <w:rFonts w:hint="eastAsia" w:ascii="仿宋_GB2312" w:hAnsi="仿宋" w:eastAsia="仿宋_GB2312" w:cs="仿宋"/>
                <w:spacing w:val="-12"/>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8</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fldChar w:fldCharType="begin"/>
            </w:r>
            <w:r>
              <w:instrText xml:space="preserve"> HYPERLINK "javascript:showForm('2ccdcdb749124e8401495ff8d8eb79fb','','');" </w:instrText>
            </w:r>
            <w:r>
              <w:fldChar w:fldCharType="separate"/>
            </w:r>
            <w:r>
              <w:rPr>
                <w:rFonts w:hint="eastAsia" w:ascii="仿宋_GB2312" w:hAnsi="仿宋" w:eastAsia="仿宋_GB2312" w:cs="仿宋"/>
                <w:kern w:val="0"/>
                <w:sz w:val="28"/>
                <w:szCs w:val="28"/>
              </w:rPr>
              <w:t>关于印发《农业农村专项资金扶持项目验收办法》的通知</w:t>
            </w:r>
            <w:r>
              <w:rPr>
                <w:rFonts w:hint="eastAsia" w:ascii="仿宋_GB2312" w:hAnsi="仿宋" w:eastAsia="仿宋_GB2312" w:cs="仿宋"/>
                <w:kern w:val="0"/>
                <w:sz w:val="28"/>
                <w:szCs w:val="28"/>
              </w:rPr>
              <w:fldChar w:fldCharType="end"/>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spacing w:val="-12"/>
                <w:kern w:val="0"/>
                <w:sz w:val="28"/>
                <w:szCs w:val="28"/>
              </w:rPr>
            </w:pPr>
            <w:r>
              <w:rPr>
                <w:rFonts w:hint="eastAsia" w:ascii="仿宋_GB2312" w:hAnsi="仿宋" w:eastAsia="仿宋_GB2312" w:cs="仿宋"/>
                <w:spacing w:val="-12"/>
                <w:kern w:val="0"/>
                <w:sz w:val="28"/>
                <w:szCs w:val="28"/>
              </w:rPr>
              <w:t>温农计发〔</w:t>
            </w:r>
            <w:r>
              <w:rPr>
                <w:rFonts w:ascii="仿宋_GB2312" w:hAnsi="仿宋" w:eastAsia="仿宋_GB2312" w:cs="仿宋"/>
                <w:spacing w:val="-12"/>
                <w:kern w:val="0"/>
                <w:sz w:val="28"/>
                <w:szCs w:val="28"/>
              </w:rPr>
              <w:t>2014</w:t>
            </w:r>
            <w:r>
              <w:rPr>
                <w:rFonts w:hint="eastAsia" w:ascii="仿宋_GB2312" w:hAnsi="仿宋" w:eastAsia="仿宋_GB2312" w:cs="仿宋"/>
                <w:spacing w:val="-12"/>
                <w:kern w:val="0"/>
                <w:sz w:val="28"/>
                <w:szCs w:val="28"/>
              </w:rPr>
              <w:t>〕</w:t>
            </w:r>
            <w:r>
              <w:rPr>
                <w:rFonts w:ascii="仿宋_GB2312" w:hAnsi="仿宋" w:eastAsia="仿宋_GB2312" w:cs="仿宋"/>
                <w:spacing w:val="-12"/>
                <w:kern w:val="0"/>
                <w:sz w:val="28"/>
                <w:szCs w:val="28"/>
              </w:rPr>
              <w:t>8</w:t>
            </w:r>
            <w:r>
              <w:rPr>
                <w:rFonts w:hint="eastAsia" w:ascii="仿宋_GB2312" w:hAnsi="仿宋" w:eastAsia="仿宋_GB2312" w:cs="仿宋"/>
                <w:spacing w:val="-12"/>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9</w:t>
            </w:r>
          </w:p>
        </w:tc>
        <w:tc>
          <w:tcPr>
            <w:tcW w:w="604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温州市农业局温州市环境保护局关于进一步推进畜牧业污染整治工作的通知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z w:val="28"/>
                <w:szCs w:val="28"/>
              </w:rPr>
            </w:pPr>
            <w:r>
              <w:rPr>
                <w:rFonts w:hint="eastAsia" w:ascii="仿宋_GB2312" w:hAnsi="仿宋" w:eastAsia="仿宋_GB2312" w:cs="仿宋"/>
                <w:sz w:val="28"/>
                <w:szCs w:val="28"/>
              </w:rPr>
              <w:t>温农〔</w:t>
            </w:r>
            <w:r>
              <w:rPr>
                <w:rFonts w:ascii="仿宋_GB2312" w:hAnsi="仿宋" w:eastAsia="仿宋_GB2312" w:cs="仿宋"/>
                <w:sz w:val="28"/>
                <w:szCs w:val="28"/>
              </w:rPr>
              <w:t>2015</w:t>
            </w:r>
            <w:r>
              <w:rPr>
                <w:rFonts w:hint="eastAsia" w:ascii="仿宋_GB2312" w:hAnsi="仿宋" w:eastAsia="仿宋_GB2312" w:cs="仿宋"/>
                <w:sz w:val="28"/>
                <w:szCs w:val="28"/>
              </w:rPr>
              <w:t>〕</w:t>
            </w:r>
            <w:r>
              <w:rPr>
                <w:rFonts w:ascii="仿宋_GB2312" w:hAnsi="仿宋" w:eastAsia="仿宋_GB2312" w:cs="仿宋"/>
                <w:sz w:val="28"/>
                <w:szCs w:val="28"/>
              </w:rPr>
              <w:t>22</w:t>
            </w:r>
            <w:r>
              <w:rPr>
                <w:rFonts w:hint="eastAsia" w:ascii="仿宋_GB2312" w:hAnsi="仿宋" w:eastAsia="仿宋_GB2312" w:cs="仿宋"/>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10</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温州市农业局关于公布温州市农业局行政规范性文件清理结果的通知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2016</w:t>
            </w:r>
            <w:r>
              <w:rPr>
                <w:rFonts w:hint="eastAsia" w:ascii="仿宋_GB2312" w:hAnsi="仿宋" w:eastAsia="仿宋_GB2312" w:cs="仿宋"/>
                <w:kern w:val="0"/>
                <w:sz w:val="28"/>
                <w:szCs w:val="28"/>
              </w:rPr>
              <w:t>〕</w:t>
            </w:r>
            <w:r>
              <w:rPr>
                <w:rFonts w:ascii="仿宋_GB2312" w:hAnsi="仿宋" w:eastAsia="仿宋_GB2312" w:cs="仿宋"/>
                <w:kern w:val="0"/>
                <w:sz w:val="28"/>
                <w:szCs w:val="28"/>
              </w:rPr>
              <w:t xml:space="preserve"> 43 </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11</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关于启用温州市农业局审批专用章的通知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2016</w:t>
            </w:r>
            <w:r>
              <w:rPr>
                <w:rFonts w:hint="eastAsia" w:ascii="仿宋_GB2312" w:hAnsi="仿宋" w:eastAsia="仿宋_GB2312" w:cs="仿宋"/>
                <w:kern w:val="0"/>
                <w:sz w:val="28"/>
                <w:szCs w:val="28"/>
              </w:rPr>
              <w:t>〕</w:t>
            </w:r>
            <w:r>
              <w:rPr>
                <w:rFonts w:ascii="仿宋_GB2312" w:hAnsi="仿宋" w:eastAsia="仿宋_GB2312" w:cs="仿宋"/>
                <w:kern w:val="0"/>
                <w:sz w:val="28"/>
                <w:szCs w:val="28"/>
              </w:rPr>
              <w:t xml:space="preserve">66 </w:t>
            </w:r>
            <w:r>
              <w:rPr>
                <w:rFonts w:hint="eastAsia" w:ascii="仿宋_GB2312" w:hAnsi="仿宋" w:eastAsia="仿宋_GB2312" w:cs="仿宋"/>
                <w:kern w:val="0"/>
                <w:sz w:val="28"/>
                <w:szCs w:val="28"/>
              </w:rPr>
              <w:t>号</w:t>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hAnsi="仿宋" w:eastAsia="仿宋_GB2312" w:cs="仿宋"/>
                <w:sz w:val="28"/>
                <w:szCs w:val="28"/>
              </w:rPr>
            </w:pPr>
            <w:r>
              <w:rPr>
                <w:rFonts w:ascii="仿宋_GB2312" w:hAnsi="仿宋" w:eastAsia="仿宋_GB2312" w:cs="仿宋"/>
                <w:sz w:val="28"/>
                <w:szCs w:val="28"/>
              </w:rPr>
              <w:t>12</w:t>
            </w:r>
          </w:p>
        </w:tc>
        <w:tc>
          <w:tcPr>
            <w:tcW w:w="60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rPr>
                <w:rFonts w:hint="eastAsia" w:ascii="仿宋_GB2312" w:hAnsi="仿宋" w:eastAsia="仿宋_GB2312" w:cs="仿宋"/>
                <w:kern w:val="0"/>
                <w:sz w:val="28"/>
                <w:szCs w:val="28"/>
              </w:rPr>
              <w:t>关于公布</w:t>
            </w:r>
            <w:r>
              <w:rPr>
                <w:rFonts w:ascii="仿宋_GB2312" w:hAnsi="仿宋" w:eastAsia="仿宋_GB2312" w:cs="仿宋"/>
                <w:kern w:val="0"/>
                <w:sz w:val="28"/>
                <w:szCs w:val="28"/>
              </w:rPr>
              <w:t>2017</w:t>
            </w:r>
            <w:r>
              <w:rPr>
                <w:rFonts w:hint="eastAsia" w:ascii="仿宋_GB2312" w:hAnsi="仿宋" w:eastAsia="仿宋_GB2312" w:cs="仿宋"/>
                <w:kern w:val="0"/>
                <w:sz w:val="28"/>
                <w:szCs w:val="28"/>
              </w:rPr>
              <w:t>年温州市农业局行政规范性文件清理结果的通知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 w:eastAsia="仿宋_GB2312" w:cs="仿宋"/>
                <w:kern w:val="0"/>
                <w:sz w:val="28"/>
                <w:szCs w:val="28"/>
              </w:rPr>
            </w:pPr>
            <w:r>
              <w:fldChar w:fldCharType="begin"/>
            </w:r>
            <w:r>
              <w:instrText xml:space="preserve"> HYPERLINK "http://www.wzsnw.gov.cn/module/download/downfile.jsp?classid=0&amp;filename=1d887b613d4f49ffb52b58828a95a92d.doc" \t "_blank" </w:instrText>
            </w:r>
            <w:r>
              <w:fldChar w:fldCharType="separate"/>
            </w:r>
            <w:r>
              <w:rPr>
                <w:rFonts w:hint="eastAsia" w:ascii="仿宋_GB2312" w:hAnsi="仿宋" w:eastAsia="仿宋_GB2312" w:cs="仿宋"/>
                <w:kern w:val="0"/>
                <w:sz w:val="28"/>
                <w:szCs w:val="28"/>
              </w:rPr>
              <w:t>温农〔</w:t>
            </w:r>
            <w:r>
              <w:rPr>
                <w:rFonts w:ascii="仿宋_GB2312" w:hAnsi="仿宋" w:eastAsia="仿宋_GB2312" w:cs="仿宋"/>
                <w:kern w:val="0"/>
                <w:sz w:val="28"/>
                <w:szCs w:val="28"/>
              </w:rPr>
              <w:t>2017</w:t>
            </w:r>
            <w:r>
              <w:rPr>
                <w:rFonts w:hint="eastAsia" w:ascii="仿宋_GB2312" w:hAnsi="仿宋" w:eastAsia="仿宋_GB2312" w:cs="仿宋"/>
                <w:kern w:val="0"/>
                <w:sz w:val="28"/>
                <w:szCs w:val="28"/>
              </w:rPr>
              <w:t>〕</w:t>
            </w:r>
            <w:r>
              <w:rPr>
                <w:rFonts w:ascii="仿宋_GB2312" w:hAnsi="仿宋" w:eastAsia="仿宋_GB2312" w:cs="仿宋"/>
                <w:kern w:val="0"/>
                <w:sz w:val="28"/>
                <w:szCs w:val="28"/>
              </w:rPr>
              <w:t>55</w:t>
            </w:r>
            <w:r>
              <w:rPr>
                <w:rFonts w:hint="eastAsia" w:ascii="仿宋_GB2312" w:hAnsi="仿宋" w:eastAsia="仿宋_GB2312" w:cs="仿宋"/>
                <w:kern w:val="0"/>
                <w:sz w:val="28"/>
                <w:szCs w:val="28"/>
              </w:rPr>
              <w:t>号</w:t>
            </w:r>
            <w:r>
              <w:rPr>
                <w:rFonts w:hint="eastAsia" w:ascii="仿宋_GB2312" w:hAnsi="仿宋" w:eastAsia="仿宋_GB2312" w:cs="仿宋"/>
                <w:kern w:val="0"/>
                <w:sz w:val="28"/>
                <w:szCs w:val="28"/>
              </w:rPr>
              <w:fldChar w:fldCharType="end"/>
            </w:r>
          </w:p>
        </w:tc>
      </w:tr>
      <w:tr>
        <w:tblPrEx>
          <w:tblLayout w:type="fixed"/>
          <w:tblCellMar>
            <w:top w:w="15" w:type="dxa"/>
            <w:left w:w="15" w:type="dxa"/>
            <w:bottom w:w="15" w:type="dxa"/>
            <w:right w:w="15" w:type="dxa"/>
          </w:tblCellMar>
        </w:tblPrEx>
        <w:trPr>
          <w:trHeight w:val="68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_GB2312" w:hAnsi="仿宋" w:eastAsia="仿宋_GB2312" w:cs="仿宋"/>
                <w:kern w:val="0"/>
                <w:sz w:val="28"/>
                <w:szCs w:val="28"/>
              </w:rPr>
            </w:pPr>
            <w:r>
              <w:rPr>
                <w:rFonts w:ascii="仿宋_GB2312" w:hAnsi="仿宋" w:eastAsia="仿宋_GB2312" w:cs="仿宋"/>
                <w:kern w:val="0"/>
                <w:sz w:val="28"/>
                <w:szCs w:val="28"/>
              </w:rPr>
              <w:t>13</w:t>
            </w:r>
          </w:p>
        </w:tc>
        <w:tc>
          <w:tcPr>
            <w:tcW w:w="604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kern w:val="0"/>
                <w:sz w:val="28"/>
                <w:szCs w:val="28"/>
              </w:rPr>
            </w:pPr>
            <w:r>
              <w:rPr>
                <w:rFonts w:hint="eastAsia" w:ascii="仿宋_GB2312" w:hAnsi="仿宋" w:eastAsia="仿宋_GB2312" w:cs="仿宋"/>
                <w:sz w:val="28"/>
                <w:szCs w:val="28"/>
              </w:rPr>
              <w:t>关于印发《温州市示范性渔业专业合作社认定办法》的通知</w:t>
            </w: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cs="仿宋"/>
                <w:spacing w:val="-20"/>
                <w:kern w:val="0"/>
                <w:sz w:val="28"/>
                <w:szCs w:val="28"/>
              </w:rPr>
            </w:pPr>
            <w:r>
              <w:rPr>
                <w:rFonts w:hint="eastAsia" w:ascii="仿宋_GB2312" w:hAnsi="仿宋" w:eastAsia="仿宋_GB2312" w:cs="仿宋"/>
                <w:spacing w:val="-20"/>
                <w:kern w:val="0"/>
                <w:sz w:val="28"/>
                <w:szCs w:val="28"/>
              </w:rPr>
              <w:t>温海渔发〔</w:t>
            </w:r>
            <w:r>
              <w:rPr>
                <w:rFonts w:ascii="仿宋_GB2312" w:hAnsi="仿宋" w:eastAsia="仿宋_GB2312" w:cs="仿宋"/>
                <w:spacing w:val="-20"/>
                <w:kern w:val="0"/>
                <w:sz w:val="28"/>
                <w:szCs w:val="28"/>
              </w:rPr>
              <w:t>2014</w:t>
            </w:r>
            <w:r>
              <w:rPr>
                <w:rFonts w:hint="eastAsia" w:ascii="仿宋_GB2312" w:hAnsi="仿宋" w:eastAsia="仿宋_GB2312" w:cs="仿宋"/>
                <w:spacing w:val="-20"/>
                <w:kern w:val="0"/>
                <w:sz w:val="28"/>
                <w:szCs w:val="28"/>
              </w:rPr>
              <w:t>〕</w:t>
            </w:r>
            <w:r>
              <w:rPr>
                <w:rFonts w:ascii="仿宋_GB2312" w:hAnsi="仿宋" w:eastAsia="仿宋_GB2312" w:cs="仿宋"/>
                <w:spacing w:val="-20"/>
                <w:kern w:val="0"/>
                <w:sz w:val="28"/>
                <w:szCs w:val="28"/>
              </w:rPr>
              <w:t>76</w:t>
            </w:r>
            <w:r>
              <w:rPr>
                <w:rFonts w:hint="eastAsia" w:ascii="仿宋_GB2312" w:hAnsi="仿宋" w:eastAsia="仿宋_GB2312" w:cs="仿宋"/>
                <w:spacing w:val="-20"/>
                <w:kern w:val="0"/>
                <w:sz w:val="28"/>
                <w:szCs w:val="28"/>
              </w:rPr>
              <w:t>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E633C"/>
    <w:rsid w:val="267E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2019-11-01T01:04:00Z</dcterms:created>
  <dc:creator>xh</dc:creator>
  <cp:lastModifiedBy>xh</cp:lastModifiedBy>
  <dcterms:modified xsi:type="dcterms:W3CDTF">2019-11-01T01:04:49Z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